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E11A2" w14:textId="77777777" w:rsidR="00BB2100" w:rsidRDefault="00000000">
      <w:pPr>
        <w:pStyle w:val="Title"/>
        <w:jc w:val="center"/>
      </w:pPr>
      <w:r>
        <w:t>MUTUAL NON-DISCLOSURE, NON-CIRCUMVENTION, AND INTRODUCTION FEE AGREEMENT</w:t>
      </w:r>
    </w:p>
    <w:p w14:paraId="5D376EF5" w14:textId="7BE3FB6B" w:rsidR="00BB2100" w:rsidRDefault="00000000">
      <w:pPr>
        <w:spacing w:after="200"/>
        <w:jc w:val="center"/>
      </w:pPr>
      <w:r>
        <w:rPr>
          <w:i/>
        </w:rPr>
        <w:t>(Business, Real Estate, Asset, and Tokenization Opportunities)</w:t>
      </w:r>
      <w:r w:rsidR="00E52F8F">
        <w:rPr>
          <w:i/>
        </w:rPr>
        <w:t>v1.2-09-16-26</w:t>
      </w:r>
    </w:p>
    <w:p w14:paraId="32A897A1" w14:textId="77777777" w:rsidR="00BB2100" w:rsidRDefault="00000000">
      <w:pPr>
        <w:jc w:val="both"/>
      </w:pPr>
      <w:r>
        <w:t>This Mutual Non-Disclosure, Non-Circumvention, and Introduction Fee Agreement (this “Agreement”) is entered into as of the date of the last signature below (the “Effective Date”) by and between First Capital Co, a corporation, with an address at Ogden, Utah 84401 (“First Capital”), and the undersigned individual or entity identified in the signature section (“Counterparty”). First Capital and Counterparty are each a “Party” and together the “Parties.”</w:t>
      </w:r>
    </w:p>
    <w:p w14:paraId="08CDC12D" w14:textId="77777777" w:rsidR="00BB2100" w:rsidRDefault="00000000">
      <w:pPr>
        <w:jc w:val="both"/>
      </w:pPr>
      <w:r>
        <w:t>The Parties wish to exchange certain non-public information to evaluate, negotiate, structure, finance, acquire, sell, develop, lease, manage, tokenize, fractionalize, invest in, or otherwise participate in one or more potential transactions involving a business, real property, an interest in real property, an operating asset, intellectual property, receivables, equipment, digital assets, securities or other financial interests, or any related entity, project, opportunity, financing source, or transaction (each, a “Transaction”).</w:t>
      </w:r>
    </w:p>
    <w:p w14:paraId="58788BFA" w14:textId="77777777" w:rsidR="00BB2100" w:rsidRDefault="00000000">
      <w:pPr>
        <w:pStyle w:val="Heading1"/>
      </w:pPr>
      <w:r>
        <w:t>1. Confidential Information</w:t>
      </w:r>
    </w:p>
    <w:p w14:paraId="239ECB3E" w14:textId="77777777" w:rsidR="00BB2100" w:rsidRDefault="00000000">
      <w:pPr>
        <w:jc w:val="both"/>
      </w:pPr>
      <w:r>
        <w:t>“Confidential Information” means all non-public information disclosed or made available, directly or indirectly, by or on behalf of a Party (the “Disclosing Party”) to the other Party (the “Receiving Party”), in any form or medium, whether oral, written, visual, electronic, digital, machine-readable, or otherwise. Confidential Information includes, without limitation:</w:t>
      </w:r>
    </w:p>
    <w:p w14:paraId="1DE7BFB3" w14:textId="77777777" w:rsidR="00BB2100" w:rsidRDefault="00000000">
      <w:pPr>
        <w:ind w:left="331" w:hanging="245"/>
      </w:pPr>
      <w:r>
        <w:t>• Information regarding a Transaction, including its existence, status, participants, structure, valuation, pricing, terms, financing, capitalization, ownership, and negotiations;</w:t>
      </w:r>
    </w:p>
    <w:p w14:paraId="5EB1F604" w14:textId="77777777" w:rsidR="00BB2100" w:rsidRDefault="00000000">
      <w:pPr>
        <w:ind w:left="331" w:hanging="245"/>
      </w:pPr>
      <w:r>
        <w:t>• Business, operational, financial, accounting, tax, legal, technical, commercial, marketing, customer, supplier, employee, investor, lender, broker, advisor, and strategic information;</w:t>
      </w:r>
    </w:p>
    <w:p w14:paraId="6C37D5EF" w14:textId="77777777" w:rsidR="00BB2100" w:rsidRDefault="00000000">
      <w:pPr>
        <w:ind w:left="331" w:hanging="245"/>
      </w:pPr>
      <w:r>
        <w:t>• Information relating to businesses, companies, assets, properties, tenants, leases, title, surveys, environmental matters, development plans, appraisals, inspections, diligence materials, and transaction documents;</w:t>
      </w:r>
    </w:p>
    <w:p w14:paraId="351733E7" w14:textId="77777777" w:rsidR="00BB2100" w:rsidRDefault="00000000">
      <w:pPr>
        <w:ind w:left="331" w:hanging="245"/>
      </w:pPr>
      <w:r>
        <w:t>• Information relating to tokenization, fractionalization, digital representations of interests, blockchain or distributed-ledger systems, wallets, smart contracts, token economics, investor eligibility, transfer restrictions, custody, compliance processes, and offering materials; and</w:t>
      </w:r>
    </w:p>
    <w:p w14:paraId="562EE4FB" w14:textId="77777777" w:rsidR="00BB2100" w:rsidRDefault="00000000">
      <w:pPr>
        <w:ind w:left="331" w:hanging="245"/>
      </w:pPr>
      <w:r>
        <w:t>• Notes, analyses, compilations, models, summaries, extracts, and other materials prepared by the Receiving Party that contain, reflect, or are derived from the foregoing.</w:t>
      </w:r>
    </w:p>
    <w:p w14:paraId="601356A3" w14:textId="77777777" w:rsidR="00BB2100" w:rsidRDefault="00000000">
      <w:pPr>
        <w:pStyle w:val="Heading1"/>
      </w:pPr>
      <w:r>
        <w:t>2. Permitted Use and Protection</w:t>
      </w:r>
    </w:p>
    <w:p w14:paraId="60EF82CE" w14:textId="77777777" w:rsidR="00BB2100" w:rsidRDefault="00000000">
      <w:pPr>
        <w:jc w:val="both"/>
      </w:pPr>
      <w:r>
        <w:t>The Receiving Party shall: (a) use Confidential Information solely to evaluate, negotiate, and, if mutually agreed, pursue a Transaction with the Disclosing Party; (b) protect Confidential Information using at least reasonable care and no less than the degree of care it uses for its own information of similar sensitivity; and (c) not disclose Confidential Information to any person except its and its affiliates’ directors, officers, employees, financing sources, prospective co-investors, legal counsel, accountants, consultants, and other professional representatives who have a legitimate need to know the information for the permitted purpose and who are bound by confidentiality obligations at least as protective as those in this Agreement (collectively, “Representatives”). The Receiving Party is responsible for any breach of this Agreement by its Representatives.</w:t>
      </w:r>
    </w:p>
    <w:p w14:paraId="5F79FFA3" w14:textId="77777777" w:rsidR="00BB2100" w:rsidRDefault="00000000">
      <w:pPr>
        <w:pStyle w:val="Heading1"/>
      </w:pPr>
      <w:r>
        <w:t>3. Exclusions and Required Disclosure</w:t>
      </w:r>
    </w:p>
    <w:p w14:paraId="6650F225" w14:textId="77777777" w:rsidR="00BB2100" w:rsidRDefault="00000000">
      <w:pPr>
        <w:jc w:val="both"/>
      </w:pPr>
      <w:r>
        <w:t xml:space="preserve">Confidential Information does not include information that the Receiving Party can demonstrate through written records or other competent and credible evidence: (a) is or becomes publicly available other than through a breach of this Agreement; (b) was lawfully known to the Receiving Party without restriction before disclosure by the Disclosing Party; (c) is lawfully received from a third party without breach of a confidentiality duty; or (d) is independently developed without use of or reference to the Confidential Information. If disclosure is required by </w:t>
      </w:r>
      <w:r>
        <w:lastRenderedPageBreak/>
        <w:t>applicable law, regulation, subpoena, court order, or governmental request, the Receiving Party may make the required disclosure, provided that, to the extent legally permitted, it promptly notifies the Disclosing Party and reasonably cooperates in seeking confidential treatment or a protective order.</w:t>
      </w:r>
    </w:p>
    <w:p w14:paraId="4A665ECA" w14:textId="77777777" w:rsidR="00BB2100" w:rsidRDefault="00000000">
      <w:pPr>
        <w:pStyle w:val="Heading1"/>
      </w:pPr>
      <w:r>
        <w:t>4. Opportunity Submission and Acceptance</w:t>
      </w:r>
    </w:p>
    <w:p w14:paraId="544F540F" w14:textId="77777777" w:rsidR="00BB2100" w:rsidRDefault="00000000">
      <w:pPr>
        <w:jc w:val="both"/>
      </w:pPr>
      <w:r>
        <w:t>An opportunity becomes an “Accepted Introduced Opportunity” only when the introducing Party submits it by email or through another written submission process agreed by the Parties and the receiving Party acknowledges it in writing. The receiving Party shall have five (5) business days after receipt to accept the submission or object in writing on the basis that the opportunity, or the relevant relationship, was already known or independently sourced. If the receiving Party does not deliver a written objection within that period, the submission is deemed accepted and protected under this Agreement.</w:t>
      </w:r>
    </w:p>
    <w:p w14:paraId="025893C7" w14:textId="77777777" w:rsidR="00BB2100" w:rsidRDefault="00000000">
      <w:pPr>
        <w:jc w:val="both"/>
      </w:pPr>
      <w:r>
        <w:t>The written submission or acknowledgment should reasonably identify, to the extent then available: the property or company; the owner or authorized contact; the date submitted; the Parties and contacts introduced; the transaction type; the protection period; whether direct contact is authorized; and any applicable transaction-specific fee addendum. An introducing Party may initially provide a blind summary and is not required to disclose the identity or direct contact information of an owner, seller, company, lender, or other source until the Parties execute a transaction-specific fee addendum or expressly agree in writing that the submission is protected pending such addendum.</w:t>
      </w:r>
    </w:p>
    <w:p w14:paraId="1B29E1FB" w14:textId="77777777" w:rsidR="00BB2100" w:rsidRDefault="00000000">
      <w:pPr>
        <w:pStyle w:val="Heading1"/>
      </w:pPr>
      <w:r>
        <w:t>5. Non-Circumvention</w:t>
      </w:r>
    </w:p>
    <w:p w14:paraId="30CF25DD" w14:textId="77777777" w:rsidR="00BB2100" w:rsidRDefault="00000000">
      <w:pPr>
        <w:jc w:val="both"/>
      </w:pPr>
      <w:r>
        <w:t>For each Accepted Introduced Opportunity, neither Party shall knowingly and intentionally use the introduction to bypass the introducing Party in connection with that specific Transaction. This restriction applies only to named owners, sellers, target companies, and financing sources specifically identified in the accepted written submission, and only with respect to the Transaction described there or a substantially similar transaction involving the same accepted opportunity.</w:t>
      </w:r>
    </w:p>
    <w:p w14:paraId="15EC6B4D" w14:textId="77777777" w:rsidR="00BB2100" w:rsidRDefault="00000000">
      <w:pPr>
        <w:jc w:val="both"/>
      </w:pPr>
      <w:r>
        <w:t>This Section does not restrict general market activity, publicly marketed opportunities, preexisting relationships, independently sourced relationships, unsolicited approaches, contacts obtained from public records or ordinary marketing, or transactions materially unrelated to the Accepted Introduced Opportunity. The non-circumvention and compensation-protection period for each Accepted Introduced Opportunity continues for twenty-four (24) months from the date the opportunity is acknowledged in writing or deemed accepted under Section 4. If active, documented negotiations concerning that opportunity are underway at the end of that period, the protection period continues solely for that opportunity until the earlier of closing, written abandonment by both Parties, or six (6) months after the last material written negotiation or diligence activity.</w:t>
      </w:r>
    </w:p>
    <w:p w14:paraId="29DD1E8C" w14:textId="77777777" w:rsidR="00BB2100" w:rsidRDefault="00000000">
      <w:pPr>
        <w:pStyle w:val="Heading1"/>
      </w:pPr>
      <w:r>
        <w:t>6. Introduction Fee and Transaction Compensation</w:t>
      </w:r>
    </w:p>
    <w:p w14:paraId="22E9B5D5" w14:textId="77777777" w:rsidR="00BB2100" w:rsidRDefault="00000000">
      <w:pPr>
        <w:jc w:val="both"/>
      </w:pPr>
      <w:r>
        <w:t>If a Party introduces an Accepted Introduced Opportunity and a Transaction is consummated during the applicable protection period, the Party that consummates the Transaction, or an affiliate, representative, or controlled entity acting on its behalf, shall pay the introducing Party an introduction fee only if the Parties have agreed in a separate written fee agreement or transaction-specific fee addendum that specifies the applicable fee, calculation method, payment timing, payment trigger, and any conditions to payment.</w:t>
      </w:r>
    </w:p>
    <w:p w14:paraId="7AF15F1A" w14:textId="77777777" w:rsidR="00BB2100" w:rsidRDefault="00000000">
      <w:pPr>
        <w:jc w:val="both"/>
      </w:pPr>
      <w:r>
        <w:t>This Agreement alone does not establish the amount of any fee, commission, carried interest, equity participation, token allocation, brokerage compensation, or other consideration. No Party is obligated to pay compensation unless and until the applicable Parties execute a separate written fee agreement or fee addendum. Within five (5) business days after execution of an LOI, purchase agreement, or closing involving an Accepted Introduced Opportunity, the receiving Party shall provide written notice to the introducing Party. To the extent reasonably necessary to calculate compensation under an executed fee agreement, the receiving Party shall provide reasonable documentation of the purchase price, consideration paid, debt assumed, equity issued, closing date, acquiring entity, and deferred or contingent payments.</w:t>
      </w:r>
    </w:p>
    <w:p w14:paraId="18DA6787" w14:textId="77777777" w:rsidR="00BB2100" w:rsidRDefault="00000000">
      <w:pPr>
        <w:jc w:val="both"/>
      </w:pPr>
      <w:r>
        <w:t xml:space="preserve">Neither Party is required or authorized under this Agreement to perform any activity requiring a license or registration unless that Party is properly licensed or has received written advice of qualified counsel that an exemption applies. The Parties will structure each assignment and compensation agreement in compliance with applicable law. Unless separately documented in a compliant written agreement, a sourcing Party’s role is limited </w:t>
      </w:r>
      <w:r>
        <w:lastRenderedPageBreak/>
        <w:t>to locating operating businesses or real assets, preliminary acquisition screening, owner relationships, site or development analysis, due diligence, and acquisition structuring; it does not include soliciting investors, recommending securities, negotiating token investments, accepting investor funds, or receiving compensation based on capital raised.</w:t>
      </w:r>
    </w:p>
    <w:p w14:paraId="0DC25BEB" w14:textId="77777777" w:rsidR="00BB2100" w:rsidRDefault="00000000">
      <w:pPr>
        <w:pStyle w:val="Heading1"/>
      </w:pPr>
      <w:r>
        <w:t>7. Tokenization and Regulatory Matters</w:t>
      </w:r>
    </w:p>
    <w:p w14:paraId="744D10D9" w14:textId="77777777" w:rsidR="00BB2100" w:rsidRDefault="00000000">
      <w:pPr>
        <w:jc w:val="both"/>
      </w:pPr>
      <w:r>
        <w:t>The Parties acknowledge that a Transaction may contemplate tokenization or digital representation of an interest in a business, real estate, or another asset. Nothing in this Agreement constitutes an offer to sell, solicitation of an offer to buy, recommendation, endorsement, or commitment to issue, purchase, transfer, broker, advise on, or facilitate any security, digital asset, token, or other financial product. Each Party is solely responsible for obtaining its own legal, tax, securities, regulatory, accounting, technical, and investment advice and for complying with all laws applicable to its activities. Any tokenization, offering, issuance, sale, transfer, custody, or related arrangement must be documented separately and is subject to all applicable approvals, disclosures, registrations, exemptions, transfer restrictions, and definitive agreements.</w:t>
      </w:r>
    </w:p>
    <w:p w14:paraId="4B8C43CD" w14:textId="77777777" w:rsidR="00BB2100" w:rsidRDefault="00000000">
      <w:pPr>
        <w:pStyle w:val="Heading1"/>
      </w:pPr>
      <w:r>
        <w:t>8. No Representation; No Obligation</w:t>
      </w:r>
    </w:p>
    <w:p w14:paraId="5F11E9C2" w14:textId="77777777" w:rsidR="00BB2100" w:rsidRDefault="00000000">
      <w:pPr>
        <w:jc w:val="both"/>
      </w:pPr>
      <w:r>
        <w:t>All Confidential Information is provided “as is.” Except as may be expressly stated in a later definitive written agreement, neither Party makes any representation or warranty, express or implied, as to the accuracy, completeness, or fitness for a particular purpose of Confidential Information, and neither Party is obligated to update it. Each Party shall independently evaluate and verify information relevant to a Transaction and rely on definitive transaction documents for transaction-specific representations and warranties. Nothing in this Agreement limits liability for fraud, fraudulent concealment, intentional misrepresentation, willful misconduct, or a knowing violation of law. Neither Party is obligated to proceed with any Transaction, expend funds, grant exclusivity, or enter into a definitive agreement.</w:t>
      </w:r>
    </w:p>
    <w:p w14:paraId="4D41B2F5" w14:textId="77777777" w:rsidR="00BB2100" w:rsidRDefault="00000000">
      <w:pPr>
        <w:pStyle w:val="Heading1"/>
      </w:pPr>
      <w:r>
        <w:t>9. Return or Destruction</w:t>
      </w:r>
    </w:p>
    <w:p w14:paraId="6C7B4807" w14:textId="77777777" w:rsidR="00BB2100" w:rsidRDefault="00000000">
      <w:pPr>
        <w:jc w:val="both"/>
      </w:pPr>
      <w:r>
        <w:t>Upon the Disclosing Party’s written request, the Receiving Party shall promptly return or destroy Confidential Information in its possession or control, except that the Receiving Party may retain one archival copy for legal, compliance, insurance, or recordkeeping purposes and automatically created backup copies that are not readily accessible in the ordinary course, in each case subject to this Agreement for so long as retained. The Receiving Party may also retain information required to be preserved by law or regulation.</w:t>
      </w:r>
    </w:p>
    <w:p w14:paraId="50872B61" w14:textId="77777777" w:rsidR="00BB2100" w:rsidRDefault="00000000">
      <w:pPr>
        <w:pStyle w:val="Heading1"/>
      </w:pPr>
      <w:r>
        <w:t>10. Term; Survival</w:t>
      </w:r>
    </w:p>
    <w:p w14:paraId="6C98055F" w14:textId="77777777" w:rsidR="00BB2100" w:rsidRDefault="00000000">
      <w:pPr>
        <w:jc w:val="both"/>
      </w:pPr>
      <w:r>
        <w:t>This Agreement begins on the Effective Date and remains in effect for two (2) years. The confidentiality and use restrictions in this Agreement survive for three (3) years after each disclosure of Confidential Information; provided, however, that trade secrets shall be protected for so long as they remain trade secrets under applicable law. The protection periods for Accepted Introduced Opportunities are governed by Sections 5 and 6.</w:t>
      </w:r>
    </w:p>
    <w:p w14:paraId="1F130540" w14:textId="77777777" w:rsidR="00BB2100" w:rsidRDefault="00000000">
      <w:pPr>
        <w:pStyle w:val="Heading1"/>
      </w:pPr>
      <w:r>
        <w:t>11. Relationship of the Parties</w:t>
      </w:r>
    </w:p>
    <w:p w14:paraId="37BD25EB" w14:textId="77777777" w:rsidR="00BB2100" w:rsidRDefault="00000000">
      <w:pPr>
        <w:jc w:val="both"/>
      </w:pPr>
      <w:r>
        <w:t>Nothing in this Agreement creates a partnership, joint venture, fiduciary relationship, employment relationship, agency, or authority for either Party to bind the other. Any project-specific role, authority, exclusivity, compensation arrangement, or other relationship must be established in a separate written agreement signed by the applicable Parties.</w:t>
      </w:r>
    </w:p>
    <w:p w14:paraId="6E646EA7" w14:textId="77777777" w:rsidR="00BB2100" w:rsidRDefault="00000000">
      <w:pPr>
        <w:pStyle w:val="Heading1"/>
      </w:pPr>
      <w:r>
        <w:t>12. Remedies</w:t>
      </w:r>
    </w:p>
    <w:p w14:paraId="1DF5E50C" w14:textId="77777777" w:rsidR="00BB2100" w:rsidRDefault="00000000">
      <w:pPr>
        <w:jc w:val="both"/>
      </w:pPr>
      <w:r>
        <w:t>The Parties acknowledge that unauthorized use or disclosure of Confidential Information, or breach of the non-circumvention obligation, may cause irreparable harm for which monetary damages may be inadequate. The non-breaching Party may seek temporary, preliminary, and permanent injunctive or other equitable relief, in addition to any other remedies available at law or in equity.</w:t>
      </w:r>
    </w:p>
    <w:p w14:paraId="7D60B1E1" w14:textId="77777777" w:rsidR="00BB2100" w:rsidRDefault="00000000">
      <w:pPr>
        <w:pStyle w:val="Heading1"/>
      </w:pPr>
      <w:r>
        <w:t>13. Notices</w:t>
      </w:r>
    </w:p>
    <w:p w14:paraId="0195119C" w14:textId="77777777" w:rsidR="00BB2100" w:rsidRDefault="00000000">
      <w:pPr>
        <w:jc w:val="both"/>
      </w:pPr>
      <w:r>
        <w:t xml:space="preserve">Notices under this Agreement must be in writing and may be delivered by personal delivery, nationally recognized overnight courier, or email. Notices to First Capital shall be sent to: David B. Stewart, First Capital Co, Ogden, Utah 84401; Email: david@FirstCapitalCo.net. Notices to Counterparty shall be sent to the address, email, and </w:t>
      </w:r>
      <w:r>
        <w:lastRenderedPageBreak/>
        <w:t>telephone information stated in the signature section, unless either Party provides updated notice information in writing. Counterparty email: ____________________________________________. Counterparty telephone: ____________________________________________.</w:t>
      </w:r>
    </w:p>
    <w:p w14:paraId="4ED12D5E" w14:textId="77777777" w:rsidR="00BB2100" w:rsidRDefault="00000000">
      <w:pPr>
        <w:pStyle w:val="Heading1"/>
      </w:pPr>
      <w:r>
        <w:t>14. Assignment, Governing Law, and Dispute Resolution</w:t>
      </w:r>
    </w:p>
    <w:p w14:paraId="49C6429F" w14:textId="77777777" w:rsidR="00BB2100" w:rsidRDefault="00000000">
      <w:pPr>
        <w:jc w:val="both"/>
      </w:pPr>
      <w:r>
        <w:t>Neither Party may assign this Agreement without the other Party’s prior written consent, except to an affiliate or successor in connection with a merger, reorganization, sale of substantially all assets, or similar transaction. Any permitted assignment requires prompt written notice identifying the assignee and the assignee’s written assumption of all applicable obligations. No assignment may materially reduce the other Party’s protections or compensation rights. The assigning Party remains responsible for obligations arising before the effective date of assignment.</w:t>
      </w:r>
    </w:p>
    <w:p w14:paraId="55F69A0A" w14:textId="77777777" w:rsidR="00BB2100" w:rsidRDefault="00000000">
      <w:pPr>
        <w:jc w:val="both"/>
      </w:pPr>
      <w:r>
        <w:t>This Agreement shall be governed by the laws of the state specified in a written transaction-specific addendum or, if no addendum specifies a governing law, by the laws of the state in which First Capital’s principal office is located, without regard to conflict-of-laws principles. The parties may specify a mutually agreed local venue and dispute-resolution procedure in a transaction-specific addendum. Absent such agreement, the state and federal courts located in the governing-law state shall have jurisdiction over disputes arising out of or relating to this Agreement, and each Party consents to that jurisdiction and venue.</w:t>
      </w:r>
    </w:p>
    <w:p w14:paraId="70804806" w14:textId="77777777" w:rsidR="00BB2100" w:rsidRDefault="00000000">
      <w:pPr>
        <w:pStyle w:val="Heading1"/>
      </w:pPr>
      <w:r>
        <w:t>15. Miscellaneous</w:t>
      </w:r>
    </w:p>
    <w:p w14:paraId="0457F895" w14:textId="77777777" w:rsidR="00BB2100" w:rsidRDefault="00000000">
      <w:pPr>
        <w:jc w:val="both"/>
      </w:pPr>
      <w:r>
        <w:t>This Agreement is the entire agreement between the Parties regarding confidentiality, non-circumvention, and the framework for potential transaction-specific introduction fees for a Transaction. It does not supersede any separately executed fee agreement, engagement agreement, accepted deal submission, or project-specific addendum. If a project-specific agreement conflicts with this Agreement, the project-specific agreement controls for that opportunity. Any amendment or waiver must be in a writing signed by both Parties. If any provision is held unenforceable, the remaining provisions will remain in effect and the invalid provision will be enforced to the maximum extent permitted by law. This Agreement may be executed in counterparts, each of which is deemed an original, and all of which together constitute one instrument. Electronic signatures and electronically delivered copies are effective to the fullest extent permitted by applicable law.</w:t>
      </w:r>
    </w:p>
    <w:p w14:paraId="3DE81CE8" w14:textId="77777777" w:rsidR="00BB2100" w:rsidRDefault="00000000">
      <w:pPr>
        <w:spacing w:before="200"/>
      </w:pPr>
      <w:r>
        <w:rPr>
          <w:b/>
          <w:sz w:val="22"/>
        </w:rPr>
        <w:t>SIGNATURES</w:t>
      </w:r>
    </w:p>
    <w:p w14:paraId="0CA9D3A4" w14:textId="77777777" w:rsidR="00BB2100" w:rsidRDefault="00000000">
      <w:r>
        <w:rPr>
          <w:b/>
        </w:rPr>
        <w:t>FIRST CAPITAL CO, A CORPORATION</w:t>
      </w:r>
    </w:p>
    <w:p w14:paraId="6A28E882" w14:textId="77777777" w:rsidR="00BB2100" w:rsidRDefault="00000000">
      <w:pPr>
        <w:spacing w:after="100"/>
      </w:pPr>
      <w:r>
        <w:rPr>
          <w:b/>
        </w:rPr>
        <w:t xml:space="preserve">By: </w:t>
      </w:r>
      <w:r>
        <w:t>David B. Stewart</w:t>
      </w:r>
    </w:p>
    <w:p w14:paraId="3E6CAA54" w14:textId="77777777" w:rsidR="00BB2100" w:rsidRDefault="00000000">
      <w:pPr>
        <w:spacing w:after="100"/>
      </w:pPr>
      <w:r>
        <w:rPr>
          <w:b/>
        </w:rPr>
        <w:t xml:space="preserve">Title: </w:t>
      </w:r>
      <w:r>
        <w:t>Authorized Signer</w:t>
      </w:r>
    </w:p>
    <w:p w14:paraId="69CF2FF4" w14:textId="77777777" w:rsidR="00BB2100" w:rsidRDefault="00000000">
      <w:pPr>
        <w:spacing w:after="100"/>
      </w:pPr>
      <w:r>
        <w:rPr>
          <w:b/>
        </w:rPr>
        <w:t xml:space="preserve">Email: </w:t>
      </w:r>
      <w:r>
        <w:t>david@FirstCapitalCo.net</w:t>
      </w:r>
    </w:p>
    <w:p w14:paraId="4C6FA2DE" w14:textId="77777777" w:rsidR="00BB2100" w:rsidRDefault="00000000">
      <w:pPr>
        <w:spacing w:after="100"/>
      </w:pPr>
      <w:r>
        <w:rPr>
          <w:b/>
        </w:rPr>
        <w:t xml:space="preserve">Address: </w:t>
      </w:r>
      <w:r>
        <w:t>Ogden, Utah 84401</w:t>
      </w:r>
    </w:p>
    <w:p w14:paraId="71C808D2" w14:textId="77777777" w:rsidR="00BB2100" w:rsidRDefault="00000000">
      <w:pPr>
        <w:spacing w:after="100"/>
      </w:pPr>
      <w:r>
        <w:rPr>
          <w:b/>
        </w:rPr>
        <w:t xml:space="preserve">Signature: </w:t>
      </w:r>
      <w:r>
        <w:t>____________________________________________</w:t>
      </w:r>
    </w:p>
    <w:p w14:paraId="220748E4" w14:textId="77777777" w:rsidR="00BB2100" w:rsidRDefault="00000000">
      <w:pPr>
        <w:spacing w:after="100"/>
      </w:pPr>
      <w:r>
        <w:rPr>
          <w:b/>
        </w:rPr>
        <w:t xml:space="preserve">Date: </w:t>
      </w:r>
      <w:r>
        <w:t>____________________________________________</w:t>
      </w:r>
    </w:p>
    <w:p w14:paraId="0C841C30" w14:textId="77777777" w:rsidR="00BB2100" w:rsidRDefault="00000000">
      <w:pPr>
        <w:spacing w:before="180"/>
      </w:pPr>
      <w:r>
        <w:rPr>
          <w:b/>
        </w:rPr>
        <w:t>COUNTERPARTY</w:t>
      </w:r>
    </w:p>
    <w:p w14:paraId="433A0A3F" w14:textId="77777777" w:rsidR="00BB2100" w:rsidRDefault="00000000">
      <w:pPr>
        <w:spacing w:after="100"/>
      </w:pPr>
      <w:r>
        <w:rPr>
          <w:b/>
        </w:rPr>
        <w:t xml:space="preserve">Legal Name of Individual or Entity: </w:t>
      </w:r>
      <w:r>
        <w:t>____________________________________________</w:t>
      </w:r>
    </w:p>
    <w:p w14:paraId="24A7DE31" w14:textId="77777777" w:rsidR="00BB2100" w:rsidRDefault="00000000">
      <w:pPr>
        <w:spacing w:after="100"/>
      </w:pPr>
      <w:r>
        <w:rPr>
          <w:b/>
        </w:rPr>
        <w:t xml:space="preserve">By (if entity): </w:t>
      </w:r>
      <w:r>
        <w:t>____________________________________________</w:t>
      </w:r>
    </w:p>
    <w:p w14:paraId="5703C655" w14:textId="77777777" w:rsidR="00BB2100" w:rsidRDefault="00000000">
      <w:pPr>
        <w:spacing w:after="100"/>
      </w:pPr>
      <w:r>
        <w:rPr>
          <w:b/>
        </w:rPr>
        <w:t xml:space="preserve">Printed Name: </w:t>
      </w:r>
      <w:r>
        <w:t>____________________________________________</w:t>
      </w:r>
    </w:p>
    <w:p w14:paraId="46DC7E20" w14:textId="77777777" w:rsidR="00BB2100" w:rsidRDefault="00000000">
      <w:pPr>
        <w:spacing w:after="100"/>
      </w:pPr>
      <w:r>
        <w:rPr>
          <w:b/>
        </w:rPr>
        <w:t xml:space="preserve">Title (if entity): </w:t>
      </w:r>
      <w:r>
        <w:t>____________________________________________</w:t>
      </w:r>
    </w:p>
    <w:p w14:paraId="13DF63E6" w14:textId="77777777" w:rsidR="00BB2100" w:rsidRDefault="00000000">
      <w:pPr>
        <w:spacing w:after="100"/>
      </w:pPr>
      <w:r>
        <w:rPr>
          <w:b/>
        </w:rPr>
        <w:t xml:space="preserve">Email: </w:t>
      </w:r>
      <w:r>
        <w:t>____________________________________________</w:t>
      </w:r>
    </w:p>
    <w:p w14:paraId="7C0832F6" w14:textId="77777777" w:rsidR="00BB2100" w:rsidRDefault="00000000">
      <w:pPr>
        <w:spacing w:after="100"/>
      </w:pPr>
      <w:r>
        <w:rPr>
          <w:b/>
        </w:rPr>
        <w:t xml:space="preserve">Telephone: </w:t>
      </w:r>
      <w:r>
        <w:t>____________________________________________</w:t>
      </w:r>
    </w:p>
    <w:p w14:paraId="61980159" w14:textId="77777777" w:rsidR="00BB2100" w:rsidRDefault="00000000">
      <w:pPr>
        <w:spacing w:after="100"/>
      </w:pPr>
      <w:r>
        <w:rPr>
          <w:b/>
        </w:rPr>
        <w:t xml:space="preserve">Address: </w:t>
      </w:r>
      <w:r>
        <w:t>____________________________________________</w:t>
      </w:r>
    </w:p>
    <w:p w14:paraId="1F78A872" w14:textId="77777777" w:rsidR="00BB2100" w:rsidRDefault="00000000">
      <w:pPr>
        <w:spacing w:after="100"/>
      </w:pPr>
      <w:r>
        <w:rPr>
          <w:b/>
        </w:rPr>
        <w:t xml:space="preserve">Signature: </w:t>
      </w:r>
      <w:r>
        <w:t>____________________________________________</w:t>
      </w:r>
    </w:p>
    <w:p w14:paraId="72E2F394" w14:textId="77777777" w:rsidR="00BB2100" w:rsidRDefault="00000000">
      <w:pPr>
        <w:spacing w:after="100"/>
      </w:pPr>
      <w:r>
        <w:rPr>
          <w:b/>
        </w:rPr>
        <w:lastRenderedPageBreak/>
        <w:t xml:space="preserve">Date: </w:t>
      </w:r>
      <w:r>
        <w:t>____________________________________________</w:t>
      </w:r>
    </w:p>
    <w:sectPr w:rsidR="00BB2100" w:rsidSect="00034616">
      <w:footerReference w:type="default" r:id="rId8"/>
      <w:pgSz w:w="12240" w:h="15840"/>
      <w:pgMar w:top="979" w:right="1224" w:bottom="979"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2FF76" w14:textId="77777777" w:rsidR="00493594" w:rsidRDefault="00493594">
      <w:pPr>
        <w:spacing w:after="0" w:line="240" w:lineRule="auto"/>
      </w:pPr>
      <w:r>
        <w:separator/>
      </w:r>
    </w:p>
  </w:endnote>
  <w:endnote w:type="continuationSeparator" w:id="0">
    <w:p w14:paraId="7491FF98" w14:textId="77777777" w:rsidR="00493594" w:rsidRDefault="00493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E43FE" w14:textId="77777777" w:rsidR="00BB2100" w:rsidRDefault="00000000">
    <w:pPr>
      <w:pStyle w:val="Footer"/>
      <w:jc w:val="center"/>
    </w:pPr>
    <w:r>
      <w:rPr>
        <w:sz w:val="16"/>
      </w:rPr>
      <w:t>Mutual NCND and Introduction Fee Agreement | First Capital 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03A01" w14:textId="77777777" w:rsidR="00493594" w:rsidRDefault="00493594">
      <w:pPr>
        <w:spacing w:after="0" w:line="240" w:lineRule="auto"/>
      </w:pPr>
      <w:r>
        <w:separator/>
      </w:r>
    </w:p>
  </w:footnote>
  <w:footnote w:type="continuationSeparator" w:id="0">
    <w:p w14:paraId="07EF49BE" w14:textId="77777777" w:rsidR="00493594" w:rsidRDefault="004935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6195297">
    <w:abstractNumId w:val="8"/>
  </w:num>
  <w:num w:numId="2" w16cid:durableId="1290743424">
    <w:abstractNumId w:val="6"/>
  </w:num>
  <w:num w:numId="3" w16cid:durableId="486015152">
    <w:abstractNumId w:val="5"/>
  </w:num>
  <w:num w:numId="4" w16cid:durableId="1956011246">
    <w:abstractNumId w:val="4"/>
  </w:num>
  <w:num w:numId="5" w16cid:durableId="314191516">
    <w:abstractNumId w:val="7"/>
  </w:num>
  <w:num w:numId="6" w16cid:durableId="130754563">
    <w:abstractNumId w:val="3"/>
  </w:num>
  <w:num w:numId="7" w16cid:durableId="930889320">
    <w:abstractNumId w:val="2"/>
  </w:num>
  <w:num w:numId="8" w16cid:durableId="1517622750">
    <w:abstractNumId w:val="1"/>
  </w:num>
  <w:num w:numId="9" w16cid:durableId="820342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93594"/>
    <w:rsid w:val="00AA1D8D"/>
    <w:rsid w:val="00B47730"/>
    <w:rsid w:val="00BB2100"/>
    <w:rsid w:val="00C24D3B"/>
    <w:rsid w:val="00CB0664"/>
    <w:rsid w:val="00E52F8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E48E60"/>
  <w14:defaultImageDpi w14:val="300"/>
  <w15:docId w15:val="{19F2BADA-51E1-486D-B314-8775D965D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4" w:lineRule="auto"/>
    </w:pPr>
    <w:rPr>
      <w:rFonts w:ascii="Aptos" w:eastAsia="Aptos" w:hAnsi="Aptos"/>
      <w:sz w:val="20"/>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color w:val="365F91" w:themeColor="accent1" w:themeShade="BF"/>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8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14277</Characters>
  <Application>Microsoft Office Word</Application>
  <DocSecurity>0</DocSecurity>
  <Lines>198</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 Stewart</cp:lastModifiedBy>
  <cp:revision>2</cp:revision>
  <dcterms:created xsi:type="dcterms:W3CDTF">2013-12-23T23:15:00Z</dcterms:created>
  <dcterms:modified xsi:type="dcterms:W3CDTF">2026-09-16T20:09:00Z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5d9d9ce2-f0d2-427a-b22f-52b54f41631b</vt:lpwstr>
  </property>
</Properties>
</file>